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83FB" w14:textId="77777777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Аннотация </w:t>
      </w:r>
    </w:p>
    <w:p w14:paraId="61C41D5E" w14:textId="18294D14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="00592B5A">
        <w:rPr>
          <w:rFonts w:ascii="Times New Roman" w:hAnsi="Times New Roman" w:cs="Times New Roman"/>
          <w:b/>
          <w:bCs/>
          <w:sz w:val="26"/>
          <w:szCs w:val="26"/>
        </w:rPr>
        <w:t>спец</w:t>
      </w: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курсу </w:t>
      </w:r>
      <w:r w:rsidR="009F6AA8">
        <w:rPr>
          <w:rFonts w:ascii="Times New Roman" w:hAnsi="Times New Roman" w:cs="Times New Roman"/>
          <w:b/>
          <w:bCs/>
          <w:sz w:val="26"/>
          <w:szCs w:val="26"/>
        </w:rPr>
        <w:t xml:space="preserve">«ЕГЭ на 100 баллов </w:t>
      </w:r>
      <w:proofErr w:type="gramStart"/>
      <w:r w:rsidR="009F6AA8">
        <w:rPr>
          <w:rFonts w:ascii="Times New Roman" w:hAnsi="Times New Roman" w:cs="Times New Roman"/>
          <w:b/>
          <w:bCs/>
          <w:sz w:val="26"/>
          <w:szCs w:val="26"/>
        </w:rPr>
        <w:t>по</w:t>
      </w:r>
      <w:proofErr w:type="gramEnd"/>
      <w:r w:rsidR="009F6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9F6AA8">
        <w:rPr>
          <w:rFonts w:ascii="Times New Roman" w:hAnsi="Times New Roman" w:cs="Times New Roman"/>
          <w:b/>
          <w:bCs/>
          <w:sz w:val="26"/>
          <w:szCs w:val="26"/>
        </w:rPr>
        <w:t>биологи</w:t>
      </w:r>
      <w:proofErr w:type="gramEnd"/>
      <w:r w:rsidR="00592B5A">
        <w:rPr>
          <w:rFonts w:ascii="Times New Roman" w:hAnsi="Times New Roman" w:cs="Times New Roman"/>
          <w:b/>
          <w:bCs/>
          <w:sz w:val="26"/>
          <w:szCs w:val="26"/>
        </w:rPr>
        <w:t>» 10</w:t>
      </w:r>
      <w:r w:rsidR="009F6AA8">
        <w:rPr>
          <w:rFonts w:ascii="Times New Roman" w:hAnsi="Times New Roman" w:cs="Times New Roman"/>
          <w:b/>
          <w:bCs/>
          <w:sz w:val="26"/>
          <w:szCs w:val="26"/>
        </w:rPr>
        <w:t>-11</w:t>
      </w: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50BBC3FE" w14:textId="0CCA8269" w:rsidR="00FD33CA" w:rsidRPr="00FD33CA" w:rsidRDefault="009F6AA8" w:rsidP="00FD33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часов 136 часов</w:t>
      </w:r>
      <w:r w:rsidR="00FD33CA" w:rsidRPr="00FD33CA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0 класс 2 часа</w:t>
      </w:r>
      <w:r w:rsidR="00FD33CA" w:rsidRPr="00FD33CA">
        <w:rPr>
          <w:rFonts w:ascii="Times New Roman" w:hAnsi="Times New Roman" w:cs="Times New Roman"/>
          <w:sz w:val="26"/>
          <w:szCs w:val="26"/>
        </w:rPr>
        <w:t xml:space="preserve"> в неделю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D33C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класс 2 часа</w:t>
      </w:r>
      <w:r w:rsidRPr="00FD33CA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="00FD33CA" w:rsidRPr="00FD33CA">
        <w:rPr>
          <w:rFonts w:ascii="Times New Roman" w:hAnsi="Times New Roman" w:cs="Times New Roman"/>
          <w:sz w:val="26"/>
          <w:szCs w:val="26"/>
        </w:rPr>
        <w:t>)</w:t>
      </w:r>
    </w:p>
    <w:p w14:paraId="054E5CD5" w14:textId="3891347C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 xml:space="preserve">Направление: </w:t>
      </w:r>
      <w:proofErr w:type="spellStart"/>
      <w:r w:rsidR="009F6AA8">
        <w:rPr>
          <w:rFonts w:ascii="Times New Roman" w:hAnsi="Times New Roman" w:cs="Times New Roman"/>
          <w:sz w:val="26"/>
          <w:szCs w:val="26"/>
        </w:rPr>
        <w:t>общеиннтелектуальное</w:t>
      </w:r>
      <w:proofErr w:type="spellEnd"/>
    </w:p>
    <w:p w14:paraId="2A4C0A42" w14:textId="59FB6D16" w:rsidR="00FD33CA" w:rsidRPr="00FD33CA" w:rsidRDefault="009F6AA8" w:rsidP="00FD33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реализации: 2</w:t>
      </w:r>
      <w:r w:rsidR="00FD33CA" w:rsidRPr="00FD33CA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2946DD80" w14:textId="77777777" w:rsidR="00592B5A" w:rsidRPr="00592B5A" w:rsidRDefault="00FD33CA" w:rsidP="00592B5A">
      <w:pPr>
        <w:pStyle w:val="a3"/>
        <w:ind w:left="0" w:firstLine="709"/>
        <w:rPr>
          <w:rFonts w:ascii="Times New Roman" w:eastAsia="Calibri" w:hAnsi="Times New Roman" w:cs="Times New Roman"/>
          <w:sz w:val="24"/>
        </w:rPr>
      </w:pPr>
      <w:r w:rsidRPr="00FD33CA">
        <w:rPr>
          <w:rFonts w:ascii="Times New Roman" w:hAnsi="Times New Roman" w:cs="Times New Roman"/>
          <w:sz w:val="26"/>
          <w:szCs w:val="26"/>
        </w:rPr>
        <w:t xml:space="preserve"> </w:t>
      </w:r>
      <w:r w:rsidR="00592B5A" w:rsidRPr="00592B5A">
        <w:rPr>
          <w:rFonts w:ascii="Times New Roman" w:eastAsia="Calibri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="00592B5A" w:rsidRPr="00592B5A">
        <w:rPr>
          <w:rFonts w:ascii="Times New Roman" w:eastAsia="Calibri" w:hAnsi="Times New Roman" w:cs="Times New Roman"/>
          <w:sz w:val="24"/>
        </w:rPr>
        <w:t>естественно-научной</w:t>
      </w:r>
      <w:proofErr w:type="gramEnd"/>
      <w:r w:rsidR="00592B5A" w:rsidRPr="00592B5A">
        <w:rPr>
          <w:rFonts w:ascii="Times New Roman" w:eastAsia="Calibri" w:hAnsi="Times New Roman" w:cs="Times New Roman"/>
          <w:sz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14:paraId="1EAC3386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4F4152C0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 xml:space="preserve"> •</w:t>
      </w:r>
      <w:r w:rsidRPr="00592B5A">
        <w:rPr>
          <w:rFonts w:ascii="Times New Roman" w:eastAsia="Calibri" w:hAnsi="Times New Roman" w:cs="Times New Roman"/>
          <w:sz w:val="24"/>
        </w:rPr>
        <w:tab/>
        <w:t xml:space="preserve">для расширения содержания школьного биологического образования; </w:t>
      </w:r>
    </w:p>
    <w:p w14:paraId="18107D00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>•</w:t>
      </w:r>
      <w:r w:rsidRPr="00592B5A">
        <w:rPr>
          <w:rFonts w:ascii="Times New Roman" w:eastAsia="Calibri" w:hAnsi="Times New Roman" w:cs="Times New Roman"/>
          <w:sz w:val="24"/>
        </w:rPr>
        <w:tab/>
        <w:t xml:space="preserve">для повышения познавательной активности </w:t>
      </w:r>
      <w:proofErr w:type="gramStart"/>
      <w:r w:rsidRPr="00592B5A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592B5A">
        <w:rPr>
          <w:rFonts w:ascii="Times New Roman" w:eastAsia="Calibri" w:hAnsi="Times New Roman" w:cs="Times New Roman"/>
          <w:sz w:val="24"/>
        </w:rPr>
        <w:t xml:space="preserve"> в естественно-научной области; </w:t>
      </w:r>
    </w:p>
    <w:p w14:paraId="4B981608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>•</w:t>
      </w:r>
      <w:r w:rsidRPr="00592B5A">
        <w:rPr>
          <w:rFonts w:ascii="Times New Roman" w:eastAsia="Calibri" w:hAnsi="Times New Roman" w:cs="Times New Roman"/>
          <w:sz w:val="24"/>
        </w:rPr>
        <w:tab/>
        <w:t xml:space="preserve">для развития личности ребёнка в процессе обучения биологии, его способностей, формирования и удовлетворения социально значимых интересов и потребностей; </w:t>
      </w:r>
    </w:p>
    <w:p w14:paraId="2492111E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>•</w:t>
      </w:r>
      <w:r w:rsidRPr="00592B5A">
        <w:rPr>
          <w:rFonts w:ascii="Times New Roman" w:eastAsia="Calibri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12A76812" w14:textId="77777777" w:rsidR="00592B5A" w:rsidRPr="00592B5A" w:rsidRDefault="00592B5A" w:rsidP="00592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B5A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592B5A">
        <w:rPr>
          <w:rFonts w:ascii="Times New Roman" w:eastAsia="Calibri" w:hAnsi="Times New Roman" w:cs="Times New Roman"/>
          <w:sz w:val="24"/>
          <w:szCs w:val="24"/>
        </w:rPr>
        <w:t>Рабочая программа по внеурочному курсу 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14:paraId="3B50288C" w14:textId="77777777" w:rsidR="00592B5A" w:rsidRPr="00592B5A" w:rsidRDefault="00592B5A" w:rsidP="00592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A">
        <w:rPr>
          <w:rFonts w:ascii="Times New Roman" w:eastAsia="Times New Roman" w:hAnsi="Times New Roman" w:cs="Times New Roman"/>
          <w:sz w:val="24"/>
          <w:szCs w:val="24"/>
        </w:rPr>
        <w:t>результаты освоения внеурочного курса;</w:t>
      </w:r>
    </w:p>
    <w:p w14:paraId="0D304A92" w14:textId="77777777" w:rsidR="00592B5A" w:rsidRPr="00592B5A" w:rsidRDefault="00592B5A" w:rsidP="00592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A">
        <w:rPr>
          <w:rFonts w:ascii="Times New Roman" w:eastAsia="Times New Roman" w:hAnsi="Times New Roman" w:cs="Times New Roman"/>
          <w:sz w:val="24"/>
          <w:szCs w:val="24"/>
        </w:rPr>
        <w:t>содержание внеурочного курса с указанием форм организации и видов деятельности;</w:t>
      </w:r>
    </w:p>
    <w:p w14:paraId="10A97000" w14:textId="77777777" w:rsidR="00592B5A" w:rsidRPr="00592B5A" w:rsidRDefault="00592B5A" w:rsidP="00592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A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14:paraId="0B02B46C" w14:textId="77777777" w:rsidR="009F6AA8" w:rsidRDefault="009F6AA8" w:rsidP="009F6AA8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/>
          <w:b/>
          <w:sz w:val="24"/>
          <w:szCs w:val="24"/>
        </w:rPr>
        <w:t>спец</w:t>
      </w: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b/>
          <w:sz w:val="24"/>
          <w:szCs w:val="24"/>
        </w:rPr>
        <w:t>«ЕГЭ на 100 баллов по биологии</w:t>
      </w:r>
      <w:r w:rsidRPr="0043618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14:paraId="01D0479D" w14:textId="77777777" w:rsidR="009F6AA8" w:rsidRDefault="009F6AA8" w:rsidP="009F6AA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>Раздел 1 «</w:t>
      </w:r>
      <w:r>
        <w:rPr>
          <w:rFonts w:ascii="Times New Roman" w:hAnsi="Times New Roman" w:cs="Times New Roman"/>
          <w:i/>
          <w:sz w:val="24"/>
          <w:szCs w:val="24"/>
        </w:rPr>
        <w:t>Биология как наука. Методы познания биологических систем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ч)</w:t>
      </w:r>
    </w:p>
    <w:p w14:paraId="2E58043D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как наука, ее достижения, методы познания живой природы. Уровневая организация и эволюция. Общие признаки биологических систем.</w:t>
      </w:r>
    </w:p>
    <w:p w14:paraId="01A76677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 w:rsidRPr="00BE72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E72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72C4">
        <w:rPr>
          <w:rFonts w:ascii="Times New Roman" w:hAnsi="Times New Roman" w:cs="Times New Roman"/>
          <w:sz w:val="24"/>
          <w:szCs w:val="24"/>
        </w:rPr>
        <w:t xml:space="preserve">спользование оборудования центра «Точка роста» План работы и техника безопасности при выполнении лабораторных работ. </w:t>
      </w:r>
      <w:proofErr w:type="gramStart"/>
      <w:r w:rsidRPr="00BE72C4">
        <w:rPr>
          <w:rFonts w:ascii="Times New Roman" w:hAnsi="Times New Roman" w:cs="Times New Roman"/>
          <w:sz w:val="24"/>
          <w:szCs w:val="24"/>
        </w:rPr>
        <w:t>Экскурсионное знакомство с кабинетом и набором оборудования кабинета)</w:t>
      </w:r>
      <w:proofErr w:type="gramEnd"/>
    </w:p>
    <w:p w14:paraId="0E12A698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Лекции, практические работы, доклады</w:t>
      </w:r>
    </w:p>
    <w:p w14:paraId="7C8DD402" w14:textId="77777777" w:rsidR="009F6AA8" w:rsidRPr="00C634C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Раздел 2: «</w:t>
      </w:r>
      <w:r w:rsidRPr="00451EFE">
        <w:rPr>
          <w:rFonts w:ascii="Times New Roman" w:hAnsi="Times New Roman" w:cs="Times New Roman"/>
          <w:i/>
          <w:sz w:val="24"/>
          <w:szCs w:val="24"/>
        </w:rPr>
        <w:t>Характеристика царств живой природы</w:t>
      </w:r>
      <w:r w:rsidRPr="00C634C8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634C8">
        <w:rPr>
          <w:rFonts w:ascii="Times New Roman" w:hAnsi="Times New Roman" w:cs="Times New Roman"/>
          <w:sz w:val="24"/>
          <w:szCs w:val="24"/>
        </w:rPr>
        <w:t>ч)</w:t>
      </w:r>
    </w:p>
    <w:p w14:paraId="680B3E4F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и строения представителей разных царств живой природы. </w:t>
      </w:r>
      <w:r w:rsidRPr="00C634C8">
        <w:rPr>
          <w:rFonts w:ascii="Times New Roman" w:hAnsi="Times New Roman" w:cs="Times New Roman"/>
          <w:sz w:val="24"/>
          <w:szCs w:val="24"/>
        </w:rPr>
        <w:t>Организм как единая система.</w:t>
      </w:r>
      <w:r w:rsidRPr="001A5A2C">
        <w:t xml:space="preserve"> </w:t>
      </w:r>
      <w:proofErr w:type="spellStart"/>
      <w:r w:rsidRPr="001A5A2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1A5A2C">
        <w:rPr>
          <w:rFonts w:ascii="Times New Roman" w:hAnsi="Times New Roman" w:cs="Times New Roman"/>
          <w:sz w:val="24"/>
          <w:szCs w:val="24"/>
        </w:rPr>
        <w:t xml:space="preserve"> низшие растения, водоросли. Ткани и органы высших </w:t>
      </w:r>
      <w:proofErr w:type="spellStart"/>
      <w:r w:rsidRPr="001A5A2C"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 w:rsidRPr="001A5A2C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1A5A2C">
        <w:rPr>
          <w:rFonts w:ascii="Times New Roman" w:hAnsi="Times New Roman" w:cs="Times New Roman"/>
          <w:sz w:val="24"/>
          <w:szCs w:val="24"/>
        </w:rPr>
        <w:t>егетативные</w:t>
      </w:r>
      <w:proofErr w:type="spellEnd"/>
      <w:r w:rsidRPr="001A5A2C">
        <w:rPr>
          <w:rFonts w:ascii="Times New Roman" w:hAnsi="Times New Roman" w:cs="Times New Roman"/>
          <w:sz w:val="24"/>
          <w:szCs w:val="24"/>
        </w:rPr>
        <w:t xml:space="preserve"> органы и генеративные органы высших растений. </w:t>
      </w:r>
      <w:proofErr w:type="spellStart"/>
      <w:r w:rsidRPr="001A5A2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1A5A2C">
        <w:rPr>
          <w:rFonts w:ascii="Times New Roman" w:hAnsi="Times New Roman" w:cs="Times New Roman"/>
          <w:sz w:val="24"/>
          <w:szCs w:val="24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</w:t>
      </w:r>
      <w:r w:rsidRPr="001A5A2C">
        <w:t xml:space="preserve"> </w:t>
      </w:r>
      <w:proofErr w:type="spellStart"/>
      <w:r w:rsidRPr="001A5A2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1A5A2C">
        <w:rPr>
          <w:rFonts w:ascii="Times New Roman" w:hAnsi="Times New Roman" w:cs="Times New Roman"/>
          <w:sz w:val="24"/>
          <w:szCs w:val="24"/>
        </w:rPr>
        <w:t xml:space="preserve"> Простейшие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A2C">
        <w:rPr>
          <w:rFonts w:ascii="Times New Roman" w:hAnsi="Times New Roman" w:cs="Times New Roman"/>
          <w:sz w:val="24"/>
          <w:szCs w:val="24"/>
        </w:rPr>
        <w:t xml:space="preserve">(Одноклеточные). </w:t>
      </w:r>
      <w:proofErr w:type="spellStart"/>
      <w:r w:rsidRPr="001A5A2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1A5A2C">
        <w:rPr>
          <w:rFonts w:ascii="Times New Roman" w:hAnsi="Times New Roman" w:cs="Times New Roman"/>
          <w:sz w:val="24"/>
          <w:szCs w:val="24"/>
        </w:rPr>
        <w:t xml:space="preserve"> Многоклеточные, тип Кишечнополостные, тип Плоские черви, тип Круглые черви, тип Кольчатые черви, тип Моллюски, тип Членистоногие. Класс Ракообразные, </w:t>
      </w:r>
      <w:proofErr w:type="spellStart"/>
      <w:r w:rsidRPr="001A5A2C">
        <w:rPr>
          <w:rFonts w:ascii="Times New Roman" w:hAnsi="Times New Roman" w:cs="Times New Roman"/>
          <w:sz w:val="24"/>
          <w:szCs w:val="24"/>
        </w:rPr>
        <w:lastRenderedPageBreak/>
        <w:t>Пукообразные</w:t>
      </w:r>
      <w:proofErr w:type="spellEnd"/>
      <w:r w:rsidRPr="001A5A2C">
        <w:rPr>
          <w:rFonts w:ascii="Times New Roman" w:hAnsi="Times New Roman" w:cs="Times New Roman"/>
          <w:sz w:val="24"/>
          <w:szCs w:val="24"/>
        </w:rPr>
        <w:t xml:space="preserve">, Насекомые. Тип Хордовые, класс Ланцетники, Рыбы, Земноводные, Пресмыкающиеся, Птицы, Млекопитающие. Подклассы </w:t>
      </w:r>
      <w:proofErr w:type="spellStart"/>
      <w:r w:rsidRPr="001A5A2C"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  <w:r w:rsidRPr="001A5A2C">
        <w:rPr>
          <w:rFonts w:ascii="Times New Roman" w:hAnsi="Times New Roman" w:cs="Times New Roman"/>
          <w:sz w:val="24"/>
          <w:szCs w:val="24"/>
        </w:rPr>
        <w:t>, Сумчатые, Плацентарные</w:t>
      </w:r>
      <w:r w:rsidRPr="00C634C8">
        <w:rPr>
          <w:rFonts w:ascii="Times New Roman" w:hAnsi="Times New Roman" w:cs="Times New Roman"/>
          <w:sz w:val="24"/>
          <w:szCs w:val="24"/>
        </w:rPr>
        <w:t xml:space="preserve"> Гомеостаз. Размножение, значение размножения в масштабах биосферы. Основные законы наследственности и изменчивости. Значение наследственности и изменчивости организмов  для эволюционного процесса, селекции.</w:t>
      </w:r>
    </w:p>
    <w:p w14:paraId="12623C63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 w:rsidRPr="00BE72C4">
        <w:rPr>
          <w:rFonts w:ascii="Times New Roman" w:hAnsi="Times New Roman" w:cs="Times New Roman"/>
          <w:sz w:val="24"/>
          <w:szCs w:val="24"/>
        </w:rPr>
        <w:t xml:space="preserve">Практическая работа, Устройство микроскопа (Использование микроскопа Левенгук кабинета «Точка роста»), Рассматривание микропрепаратов </w:t>
      </w:r>
      <w:r>
        <w:rPr>
          <w:rFonts w:ascii="Times New Roman" w:hAnsi="Times New Roman" w:cs="Times New Roman"/>
          <w:sz w:val="24"/>
          <w:szCs w:val="24"/>
        </w:rPr>
        <w:t>набора «Набор микропрепаратов по ботанике», «Набор микропрепаратов по зоологии», «набор микропрепаратов по общей биологии»</w:t>
      </w:r>
      <w:r w:rsidRPr="00BE72C4">
        <w:rPr>
          <w:rFonts w:ascii="Times New Roman" w:hAnsi="Times New Roman" w:cs="Times New Roman"/>
          <w:sz w:val="24"/>
          <w:szCs w:val="24"/>
        </w:rPr>
        <w:t xml:space="preserve"> 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5DB353B7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Лекции, практические работы, доклады</w:t>
      </w:r>
    </w:p>
    <w:p w14:paraId="439F84B2" w14:textId="77777777" w:rsidR="009F6AA8" w:rsidRDefault="009F6AA8" w:rsidP="009F6AA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>Раздел 3: «</w:t>
      </w:r>
      <w:r>
        <w:rPr>
          <w:rFonts w:ascii="Times New Roman" w:hAnsi="Times New Roman" w:cs="Times New Roman"/>
          <w:i/>
          <w:sz w:val="24"/>
          <w:szCs w:val="24"/>
        </w:rPr>
        <w:t>Генетическая информация в клетке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>
        <w:rPr>
          <w:rFonts w:ascii="Times New Roman" w:hAnsi="Times New Roman" w:cs="Times New Roman"/>
          <w:i/>
          <w:sz w:val="24"/>
          <w:szCs w:val="24"/>
        </w:rPr>
        <w:t>272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59B28C1C" w14:textId="77777777" w:rsidR="009F6AA8" w:rsidRPr="009647B7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 w:rsidRPr="009647B7">
        <w:rPr>
          <w:rFonts w:ascii="Times New Roman" w:hAnsi="Times New Roman" w:cs="Times New Roman"/>
          <w:sz w:val="24"/>
          <w:szCs w:val="24"/>
        </w:rPr>
        <w:t xml:space="preserve">Гены, генетический код и его свойства. </w:t>
      </w:r>
      <w:r>
        <w:rPr>
          <w:rFonts w:ascii="Times New Roman" w:hAnsi="Times New Roman" w:cs="Times New Roman"/>
          <w:sz w:val="24"/>
          <w:szCs w:val="24"/>
        </w:rPr>
        <w:t>Реакции матричного синтеза</w:t>
      </w:r>
      <w:r w:rsidRPr="009647B7">
        <w:rPr>
          <w:rFonts w:ascii="Times New Roman" w:hAnsi="Times New Roman" w:cs="Times New Roman"/>
          <w:sz w:val="24"/>
          <w:szCs w:val="24"/>
        </w:rPr>
        <w:t>. Биосинтез белка и нуклеиновых кислот.</w:t>
      </w:r>
      <w:r w:rsidRPr="00B043AD">
        <w:t xml:space="preserve"> </w:t>
      </w:r>
      <w:r w:rsidRPr="00B043AD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изменчивость. Первый, второй и третий закон Менделя. </w:t>
      </w:r>
      <w:proofErr w:type="spellStart"/>
      <w:r w:rsidRPr="00B043AD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B043AD">
        <w:rPr>
          <w:rFonts w:ascii="Times New Roman" w:hAnsi="Times New Roman" w:cs="Times New Roman"/>
          <w:sz w:val="24"/>
          <w:szCs w:val="24"/>
        </w:rPr>
        <w:t xml:space="preserve"> и моногибридное </w:t>
      </w:r>
      <w:proofErr w:type="spellStart"/>
      <w:r w:rsidRPr="00B043AD">
        <w:rPr>
          <w:rFonts w:ascii="Times New Roman" w:hAnsi="Times New Roman" w:cs="Times New Roman"/>
          <w:sz w:val="24"/>
          <w:szCs w:val="24"/>
        </w:rPr>
        <w:t>скрещевание</w:t>
      </w:r>
      <w:proofErr w:type="spellEnd"/>
      <w:r w:rsidRPr="00B043AD">
        <w:rPr>
          <w:rFonts w:ascii="Times New Roman" w:hAnsi="Times New Roman" w:cs="Times New Roman"/>
          <w:sz w:val="24"/>
          <w:szCs w:val="24"/>
        </w:rPr>
        <w:t>. Генетика пола, сцепленное с полом наследование.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Псевдоаутосомное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наследование. Наследование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голандрическому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признаку, двойное сцепление с Х </w:t>
      </w:r>
      <w:proofErr w:type="gramStart"/>
      <w:r>
        <w:rPr>
          <w:rFonts w:ascii="Times New Roman" w:hAnsi="Times New Roman" w:cs="Times New Roman"/>
          <w:sz w:val="24"/>
          <w:szCs w:val="24"/>
        </w:rPr>
        <w:t>-х</w:t>
      </w:r>
      <w:proofErr w:type="gramEnd"/>
      <w:r>
        <w:rPr>
          <w:rFonts w:ascii="Times New Roman" w:hAnsi="Times New Roman" w:cs="Times New Roman"/>
          <w:sz w:val="24"/>
          <w:szCs w:val="24"/>
        </w:rPr>
        <w:t>ромосомой.</w:t>
      </w:r>
      <w:r w:rsidRPr="00B043AD">
        <w:rPr>
          <w:rFonts w:ascii="Times New Roman" w:hAnsi="Times New Roman" w:cs="Times New Roman"/>
          <w:sz w:val="24"/>
          <w:szCs w:val="24"/>
        </w:rPr>
        <w:t xml:space="preserve"> Методы генетики. Селекция, центры происхождения культурных растений.</w:t>
      </w:r>
    </w:p>
    <w:p w14:paraId="31B5FA25" w14:textId="77777777" w:rsidR="009F6AA8" w:rsidRDefault="009F6AA8" w:rsidP="009F6AA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634C8">
        <w:rPr>
          <w:rFonts w:ascii="Times New Roman" w:hAnsi="Times New Roman" w:cs="Times New Roman"/>
          <w:i/>
          <w:sz w:val="24"/>
          <w:szCs w:val="24"/>
        </w:rPr>
        <w:t>: «</w:t>
      </w:r>
      <w:r>
        <w:rPr>
          <w:rFonts w:ascii="Times New Roman" w:hAnsi="Times New Roman" w:cs="Times New Roman"/>
          <w:i/>
          <w:sz w:val="24"/>
          <w:szCs w:val="24"/>
        </w:rPr>
        <w:t>Организм человека и его здоровье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2D4A2D77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Ткани. Строение и жизнедеятельность органов и систем органов, распознавание на рисунках. ОДС, покровная, выделительная, кровообращения,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лимфооттока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дыхательная, пищеварительная, иммунная, нервная и эндокринные системы. Питание, обмен веществ и энергии, регуляция процессов, витамины. Анализаторы. ВНД. Личная и общественная гигиена, ЗОЖ, оказание первой помощи. </w:t>
      </w:r>
    </w:p>
    <w:p w14:paraId="11BF07C6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 w:rsidRPr="005B606D">
        <w:rPr>
          <w:rFonts w:ascii="Times New Roman" w:hAnsi="Times New Roman" w:cs="Times New Roman"/>
          <w:sz w:val="24"/>
          <w:szCs w:val="24"/>
        </w:rPr>
        <w:t xml:space="preserve">Практическая работа, Устройство микроскопа (Использование микроскопа Левенгук кабинета «Точка роста»), Рассматривание микропрепаратов </w:t>
      </w:r>
      <w:r>
        <w:rPr>
          <w:rFonts w:ascii="Times New Roman" w:hAnsi="Times New Roman" w:cs="Times New Roman"/>
          <w:sz w:val="24"/>
          <w:szCs w:val="24"/>
        </w:rPr>
        <w:t>набора «Набор микропрепаратов по анатомии»</w:t>
      </w:r>
      <w:r w:rsidRPr="005B606D">
        <w:rPr>
          <w:rFonts w:ascii="Times New Roman" w:hAnsi="Times New Roman" w:cs="Times New Roman"/>
          <w:sz w:val="24"/>
          <w:szCs w:val="24"/>
        </w:rPr>
        <w:t xml:space="preserve"> 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6899ECBA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 w:rsidRPr="005B606D">
        <w:rPr>
          <w:rFonts w:ascii="Times New Roman" w:hAnsi="Times New Roman" w:cs="Times New Roman"/>
          <w:sz w:val="24"/>
          <w:szCs w:val="24"/>
        </w:rPr>
        <w:t>«Определение уровня освещенности учебных кабинетов» с использованием датчика освещенности лаборатории биологии кабинета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, «Определение качества воды» </w:t>
      </w:r>
      <w:r w:rsidRPr="005B606D">
        <w:rPr>
          <w:rFonts w:ascii="Times New Roman" w:hAnsi="Times New Roman" w:cs="Times New Roman"/>
          <w:sz w:val="24"/>
          <w:szCs w:val="24"/>
        </w:rPr>
        <w:t xml:space="preserve">с использованием датчика </w:t>
      </w:r>
      <w:r>
        <w:rPr>
          <w:rFonts w:ascii="Times New Roman" w:hAnsi="Times New Roman" w:cs="Times New Roman"/>
          <w:sz w:val="24"/>
          <w:szCs w:val="24"/>
        </w:rPr>
        <w:t>мутности</w:t>
      </w:r>
      <w:r w:rsidRPr="005B606D">
        <w:rPr>
          <w:rFonts w:ascii="Times New Roman" w:hAnsi="Times New Roman" w:cs="Times New Roman"/>
          <w:sz w:val="24"/>
          <w:szCs w:val="24"/>
        </w:rPr>
        <w:t xml:space="preserve"> лаборатории биологии кабинета «Точка роста»</w:t>
      </w:r>
    </w:p>
    <w:p w14:paraId="741B8571" w14:textId="77777777" w:rsidR="009F6AA8" w:rsidRDefault="009F6AA8" w:rsidP="009F6AA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C634C8">
        <w:rPr>
          <w:rFonts w:ascii="Times New Roman" w:hAnsi="Times New Roman" w:cs="Times New Roman"/>
          <w:i/>
          <w:sz w:val="24"/>
          <w:szCs w:val="24"/>
        </w:rPr>
        <w:t>: «</w:t>
      </w:r>
      <w:r>
        <w:rPr>
          <w:rFonts w:ascii="Times New Roman" w:hAnsi="Times New Roman" w:cs="Times New Roman"/>
          <w:i/>
          <w:sz w:val="24"/>
          <w:szCs w:val="24"/>
        </w:rPr>
        <w:t>Эволюция живой природы. Результаты эволюционных процессов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>
        <w:rPr>
          <w:rFonts w:ascii="Times New Roman" w:hAnsi="Times New Roman" w:cs="Times New Roman"/>
          <w:i/>
          <w:sz w:val="24"/>
          <w:szCs w:val="24"/>
        </w:rPr>
        <w:t>18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5EDB3324" w14:textId="77777777" w:rsidR="009F6AA8" w:rsidRPr="007217EE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Вид, критерии. Популяции.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макроэволюция. Видообразование. Развитие эволюционных идей, СТЭ. Доказательства эволюции живой природы. Результат эволюции. Бактерии. Грибы.  Строение и систематика растений. Строение и систематика животных. Направления и пути эволюции. Возникновение и развитие жизни на земле. Антропогенез. Расы человека. </w:t>
      </w:r>
    </w:p>
    <w:p w14:paraId="1A45C5EB" w14:textId="77777777" w:rsidR="009F6AA8" w:rsidRDefault="009F6AA8" w:rsidP="009F6AA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C634C8">
        <w:rPr>
          <w:rFonts w:ascii="Times New Roman" w:hAnsi="Times New Roman" w:cs="Times New Roman"/>
          <w:i/>
          <w:sz w:val="24"/>
          <w:szCs w:val="24"/>
        </w:rPr>
        <w:t>: «</w:t>
      </w:r>
      <w:r>
        <w:rPr>
          <w:rFonts w:ascii="Times New Roman" w:hAnsi="Times New Roman" w:cs="Times New Roman"/>
          <w:i/>
          <w:sz w:val="24"/>
          <w:szCs w:val="24"/>
        </w:rPr>
        <w:t>Экосистемы и присущие им закономерности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01C69A0C" w14:textId="77777777" w:rsidR="009F6AA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Среды обитания организмов. Факторы среды. Экосистемы. Трофические уровни. Цепи питания. Разнообразие экосистем. Биосфера. Живое вещество и его функции. Биологический круговорот. Эволюция биосферы. Глобальные изменения в биосфере. Проблемы устойчивого развития биосферы. Правила поведения в природной среде.</w:t>
      </w:r>
    </w:p>
    <w:p w14:paraId="3B107163" w14:textId="77777777" w:rsidR="009F6AA8" w:rsidRPr="009647B7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рН почвы с помощью датчика  определения рН. Исследование содержания нитрат ионов и хлорид ионов  в овощах и питьевой воде с использованием датчика определения концентрации нитрат ионов  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хлорид-ионов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0DAB132" w14:textId="77777777" w:rsidR="009F6AA8" w:rsidRPr="001A5A2C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Раздел 7: </w:t>
      </w:r>
      <w:r w:rsidRPr="001A5A2C">
        <w:rPr>
          <w:rFonts w:ascii="Times New Roman" w:hAnsi="Times New Roman" w:cs="Times New Roman"/>
          <w:i/>
          <w:iCs/>
          <w:sz w:val="24"/>
          <w:szCs w:val="24"/>
        </w:rPr>
        <w:t>Тестирование учащихся по пройденным темам курса</w:t>
      </w:r>
      <w:r w:rsidRPr="001A5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(23ч)</w:t>
      </w:r>
    </w:p>
    <w:p w14:paraId="60CC878E" w14:textId="77777777" w:rsidR="009F6AA8" w:rsidRPr="009647B7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  <w:r w:rsidRPr="001A5A2C">
        <w:rPr>
          <w:rFonts w:ascii="Times New Roman" w:hAnsi="Times New Roman" w:cs="Times New Roman"/>
          <w:sz w:val="24"/>
          <w:szCs w:val="24"/>
        </w:rPr>
        <w:t>Решение типовых заданий ЕГЭ прошлых лет, ориентированность на задания части 2</w:t>
      </w:r>
    </w:p>
    <w:p w14:paraId="21793BDD" w14:textId="77777777" w:rsidR="009F6AA8" w:rsidRPr="00C634C8" w:rsidRDefault="009F6AA8" w:rsidP="009F6AA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FA5418" w14:textId="77777777" w:rsidR="009F6AA8" w:rsidRPr="007B5AFA" w:rsidRDefault="009F6AA8" w:rsidP="009F6AA8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1878E926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719514C5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уроки </w:t>
      </w:r>
      <w:r>
        <w:rPr>
          <w:rFonts w:eastAsiaTheme="minorHAnsi" w:cstheme="minorBidi"/>
          <w:lang w:eastAsia="en-US"/>
        </w:rPr>
        <w:t>–</w:t>
      </w:r>
      <w:r w:rsidRPr="007B5AFA">
        <w:rPr>
          <w:rFonts w:eastAsiaTheme="minorHAnsi" w:cstheme="minorBidi"/>
          <w:lang w:eastAsia="en-US"/>
        </w:rPr>
        <w:t xml:space="preserve"> исследования, уроки </w:t>
      </w:r>
      <w:r>
        <w:rPr>
          <w:rFonts w:eastAsiaTheme="minorHAnsi" w:cstheme="minorBidi"/>
          <w:lang w:eastAsia="en-US"/>
        </w:rPr>
        <w:t>–</w:t>
      </w:r>
      <w:r w:rsidRPr="007B5AFA">
        <w:rPr>
          <w:rFonts w:eastAsiaTheme="minorHAnsi" w:cstheme="minorBidi"/>
          <w:lang w:eastAsia="en-US"/>
        </w:rPr>
        <w:t xml:space="preserve"> путешествия;</w:t>
      </w:r>
    </w:p>
    <w:p w14:paraId="7F4AABB8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14:paraId="6EAAB03F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25384B36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14:paraId="7BAA26DD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14:paraId="49A1DABB" w14:textId="77777777" w:rsidR="009F6AA8" w:rsidRPr="007B5AFA" w:rsidRDefault="009F6AA8" w:rsidP="009F6AA8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615107E1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7CA83BAB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14:paraId="5D0615C4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14:paraId="4D7DE9C7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литературой, связанной с химией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727E4E82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7296BB8C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14:paraId="1BA5E079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14:paraId="45A14A1D" w14:textId="77777777" w:rsidR="009F6AA8" w:rsidRPr="007B5AFA" w:rsidRDefault="009F6AA8" w:rsidP="009F6AA8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14:paraId="37D24642" w14:textId="77777777" w:rsidR="00CF7914" w:rsidRDefault="00CF7914">
      <w:bookmarkStart w:id="0" w:name="_GoBack"/>
      <w:bookmarkEnd w:id="0"/>
    </w:p>
    <w:sectPr w:rsidR="00CF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FE"/>
    <w:rsid w:val="00592B5A"/>
    <w:rsid w:val="00842E47"/>
    <w:rsid w:val="009B5E20"/>
    <w:rsid w:val="009F6AA8"/>
    <w:rsid w:val="00CF7914"/>
    <w:rsid w:val="00DD1BFE"/>
    <w:rsid w:val="00FA3EB7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3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CA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59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592B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CA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59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592B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Екатерина</cp:lastModifiedBy>
  <cp:revision>8</cp:revision>
  <dcterms:created xsi:type="dcterms:W3CDTF">2022-11-22T02:35:00Z</dcterms:created>
  <dcterms:modified xsi:type="dcterms:W3CDTF">2023-09-16T03:51:00Z</dcterms:modified>
</cp:coreProperties>
</file>